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50" w:type="dxa"/>
        <w:jc w:val="center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91"/>
        <w:gridCol w:w="7359"/>
      </w:tblGrid>
      <w:tr w:rsidR="00864EDA" w:rsidTr="00864ED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F0481" w:rsidRDefault="009F0481" w:rsidP="009F0481">
            <w:pPr>
              <w:spacing w:line="240" w:lineRule="atLeast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6"/>
                <w:szCs w:val="26"/>
              </w:rPr>
              <w:t>VII Encuentro Nacional Y IV Latinoamericano: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26"/>
                <w:szCs w:val="26"/>
              </w:rPr>
              <w:t> </w:t>
            </w:r>
            <w:r>
              <w:rPr>
                <w:rFonts w:ascii="Verdana" w:hAnsi="Verdana"/>
                <w:b/>
                <w:bCs/>
                <w:color w:val="000000"/>
                <w:sz w:val="26"/>
                <w:szCs w:val="26"/>
              </w:rPr>
              <w:br/>
              <w:t>"La Universidad Como Objeto De Investigación"</w:t>
            </w:r>
            <w:r w:rsidRPr="009F048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br/>
            </w:r>
          </w:p>
          <w:p w:rsidR="000F35F6" w:rsidRPr="009F0481" w:rsidRDefault="009F0481" w:rsidP="009F0481">
            <w:pPr>
              <w:spacing w:line="240" w:lineRule="atLeast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9F0481">
              <w:rPr>
                <w:rFonts w:ascii="Verdana" w:hAnsi="Verdana"/>
                <w:b/>
                <w:bCs/>
                <w:color w:val="000000"/>
              </w:rPr>
              <w:t>U</w:t>
            </w:r>
            <w:r>
              <w:rPr>
                <w:rFonts w:ascii="Verdana" w:hAnsi="Verdana"/>
                <w:b/>
                <w:bCs/>
                <w:color w:val="000000"/>
              </w:rPr>
              <w:t>niversidad y democracia en Argentina y América L</w:t>
            </w:r>
            <w:r w:rsidRPr="009F0481">
              <w:rPr>
                <w:rFonts w:ascii="Verdana" w:hAnsi="Verdana"/>
                <w:b/>
                <w:bCs/>
                <w:color w:val="000000"/>
              </w:rPr>
              <w:t xml:space="preserve">atina </w:t>
            </w:r>
            <w:r w:rsidRPr="009F0481">
              <w:rPr>
                <w:rFonts w:ascii="Verdana" w:hAnsi="Verdana"/>
                <w:b/>
                <w:bCs/>
                <w:color w:val="000000"/>
              </w:rPr>
              <w:br/>
            </w:r>
          </w:p>
        </w:tc>
      </w:tr>
      <w:tr w:rsidR="00864EDA" w:rsidTr="000F35F6">
        <w:trPr>
          <w:tblCellSpacing w:w="0" w:type="dxa"/>
          <w:jc w:val="center"/>
        </w:trPr>
        <w:tc>
          <w:tcPr>
            <w:tcW w:w="4191" w:type="dxa"/>
            <w:shd w:val="clear" w:color="auto" w:fill="FFFFFF"/>
            <w:vAlign w:val="center"/>
            <w:hideMark/>
          </w:tcPr>
          <w:p w:rsidR="000F35F6" w:rsidRPr="009F0481" w:rsidRDefault="000F35F6" w:rsidP="000F35F6">
            <w:pPr>
              <w:pStyle w:val="Ttulo"/>
              <w:rPr>
                <w:sz w:val="40"/>
                <w:szCs w:val="40"/>
              </w:rPr>
            </w:pPr>
            <w:r w:rsidRPr="009F0481">
              <w:rPr>
                <w:sz w:val="40"/>
                <w:szCs w:val="40"/>
              </w:rPr>
              <w:t xml:space="preserve">UNIVERSIDAD </w:t>
            </w:r>
            <w:r w:rsidR="005049C3">
              <w:rPr>
                <w:sz w:val="40"/>
                <w:szCs w:val="40"/>
              </w:rPr>
              <w:t>N</w:t>
            </w:r>
            <w:r w:rsidR="009F0481" w:rsidRPr="009F0481">
              <w:rPr>
                <w:sz w:val="40"/>
                <w:szCs w:val="40"/>
              </w:rPr>
              <w:t>ACIONAL DE SAN LUIS. 29, 30 Y 31 DE Agosto del 2013</w:t>
            </w:r>
          </w:p>
          <w:p w:rsidR="00864EDA" w:rsidRDefault="00864EDA">
            <w:pPr>
              <w:pStyle w:val="NormalWeb"/>
              <w:spacing w:line="24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7359" w:type="dxa"/>
            <w:shd w:val="clear" w:color="auto" w:fill="FFFFFF"/>
            <w:vAlign w:val="center"/>
            <w:hideMark/>
          </w:tcPr>
          <w:p w:rsidR="006B2E5C" w:rsidRPr="0077556D" w:rsidRDefault="000F35F6" w:rsidP="006B2E5C">
            <w:pPr>
              <w:spacing w:after="0" w:line="360" w:lineRule="exact"/>
              <w:jc w:val="both"/>
              <w:rPr>
                <w:rFonts w:ascii="Times New Roman" w:hAnsi="Times New Roman"/>
              </w:rPr>
            </w:pPr>
            <w:r w:rsidRPr="000F35F6">
              <w:rPr>
                <w:rStyle w:val="Textoennegrita"/>
                <w:color w:val="000000"/>
              </w:rPr>
              <w:t>Áreas temáticas para la presentación de ponencias</w:t>
            </w:r>
            <w:r w:rsidRPr="00533F46">
              <w:rPr>
                <w:i/>
                <w:iCs/>
                <w:color w:val="000000"/>
                <w:sz w:val="20"/>
                <w:szCs w:val="20"/>
              </w:rPr>
              <w:br/>
            </w:r>
            <w:r w:rsidRPr="00533F46">
              <w:rPr>
                <w:rStyle w:val="nfasis"/>
                <w:color w:val="000000"/>
                <w:sz w:val="20"/>
                <w:szCs w:val="20"/>
              </w:rPr>
              <w:t> </w:t>
            </w:r>
            <w:r w:rsidRPr="00533F4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6B2E5C" w:rsidRPr="0077556D">
              <w:rPr>
                <w:rFonts w:ascii="Times New Roman" w:hAnsi="Times New Roman"/>
              </w:rPr>
              <w:t>Eje 1: Organización, política y gobierno universitario.</w:t>
            </w:r>
          </w:p>
          <w:p w:rsidR="006B2E5C" w:rsidRPr="0077556D" w:rsidRDefault="006B2E5C" w:rsidP="006B2E5C">
            <w:pPr>
              <w:spacing w:after="0" w:line="360" w:lineRule="exact"/>
              <w:jc w:val="both"/>
              <w:rPr>
                <w:rFonts w:ascii="Times New Roman" w:hAnsi="Times New Roman"/>
              </w:rPr>
            </w:pPr>
            <w:r w:rsidRPr="0077556D">
              <w:rPr>
                <w:rFonts w:ascii="Times New Roman" w:hAnsi="Times New Roman"/>
              </w:rPr>
              <w:t>Eje 2: Economía y Financiamiento.</w:t>
            </w:r>
          </w:p>
          <w:p w:rsidR="006B2E5C" w:rsidRPr="0077556D" w:rsidRDefault="006B2E5C" w:rsidP="006B2E5C">
            <w:pPr>
              <w:spacing w:after="0" w:line="360" w:lineRule="exact"/>
              <w:jc w:val="both"/>
              <w:rPr>
                <w:rFonts w:ascii="Times New Roman" w:hAnsi="Times New Roman"/>
              </w:rPr>
            </w:pPr>
            <w:r w:rsidRPr="0077556D">
              <w:rPr>
                <w:rFonts w:ascii="Times New Roman" w:hAnsi="Times New Roman"/>
              </w:rPr>
              <w:t>Eje 3: Currículo y Didáctica General y Didácticas Especiales del Nivel Superior.</w:t>
            </w:r>
          </w:p>
          <w:p w:rsidR="006B2E5C" w:rsidRPr="0077556D" w:rsidRDefault="006B2E5C" w:rsidP="006B2E5C">
            <w:pPr>
              <w:spacing w:after="0" w:line="360" w:lineRule="exact"/>
              <w:jc w:val="both"/>
              <w:rPr>
                <w:rFonts w:ascii="Times New Roman" w:hAnsi="Times New Roman"/>
              </w:rPr>
            </w:pPr>
            <w:r w:rsidRPr="0077556D">
              <w:rPr>
                <w:rFonts w:ascii="Times New Roman" w:hAnsi="Times New Roman"/>
              </w:rPr>
              <w:t>Eje 4: Producción y transferencia del conocimiento.</w:t>
            </w:r>
          </w:p>
          <w:p w:rsidR="006B2E5C" w:rsidRPr="0077556D" w:rsidRDefault="006B2E5C" w:rsidP="006B2E5C">
            <w:pPr>
              <w:spacing w:after="0" w:line="360" w:lineRule="exact"/>
              <w:jc w:val="both"/>
              <w:rPr>
                <w:rFonts w:ascii="Times New Roman" w:hAnsi="Times New Roman"/>
              </w:rPr>
            </w:pPr>
            <w:r w:rsidRPr="0077556D">
              <w:rPr>
                <w:rFonts w:ascii="Times New Roman" w:hAnsi="Times New Roman"/>
              </w:rPr>
              <w:t>Eje 5: Campo ocupacional y postgrados.</w:t>
            </w:r>
          </w:p>
          <w:p w:rsidR="006B2E5C" w:rsidRPr="0077556D" w:rsidRDefault="006B2E5C" w:rsidP="006B2E5C">
            <w:pPr>
              <w:spacing w:after="0" w:line="360" w:lineRule="exact"/>
              <w:jc w:val="both"/>
              <w:rPr>
                <w:rFonts w:ascii="Times New Roman" w:hAnsi="Times New Roman"/>
              </w:rPr>
            </w:pPr>
            <w:r w:rsidRPr="0077556D">
              <w:rPr>
                <w:rFonts w:ascii="Times New Roman" w:hAnsi="Times New Roman"/>
              </w:rPr>
              <w:t>Eje 6: Historia de la Universidad</w:t>
            </w:r>
            <w:r>
              <w:rPr>
                <w:rFonts w:ascii="Times New Roman" w:hAnsi="Times New Roman"/>
              </w:rPr>
              <w:t>. I</w:t>
            </w:r>
            <w:r w:rsidRPr="0077556D">
              <w:rPr>
                <w:rFonts w:ascii="Times New Roman" w:hAnsi="Times New Roman"/>
              </w:rPr>
              <w:t>nstituciones, disciplinas y sujetos.</w:t>
            </w:r>
          </w:p>
          <w:p w:rsidR="006B2E5C" w:rsidRPr="0077556D" w:rsidRDefault="006B2E5C" w:rsidP="006B2E5C">
            <w:pPr>
              <w:spacing w:after="0" w:line="360" w:lineRule="exact"/>
              <w:jc w:val="both"/>
              <w:rPr>
                <w:rFonts w:ascii="Times New Roman" w:hAnsi="Times New Roman"/>
              </w:rPr>
            </w:pPr>
            <w:r w:rsidRPr="0077556D">
              <w:rPr>
                <w:rFonts w:ascii="Times New Roman" w:hAnsi="Times New Roman"/>
              </w:rPr>
              <w:t>Eje 7: Evaluación y acreditación universitaria.</w:t>
            </w:r>
          </w:p>
          <w:p w:rsidR="006B2E5C" w:rsidRPr="0077556D" w:rsidRDefault="006B2E5C" w:rsidP="006B2E5C">
            <w:pPr>
              <w:spacing w:after="0" w:line="360" w:lineRule="exact"/>
              <w:jc w:val="both"/>
              <w:rPr>
                <w:rFonts w:ascii="Times New Roman" w:hAnsi="Times New Roman"/>
              </w:rPr>
            </w:pPr>
            <w:r w:rsidRPr="0077556D">
              <w:rPr>
                <w:rFonts w:ascii="Times New Roman" w:hAnsi="Times New Roman"/>
              </w:rPr>
              <w:t>Eje 8: Nuevas tecnologías en la enseñanza.</w:t>
            </w:r>
          </w:p>
          <w:p w:rsidR="006B2E5C" w:rsidRDefault="006B2E5C" w:rsidP="006B2E5C">
            <w:pPr>
              <w:spacing w:after="0" w:line="360" w:lineRule="exact"/>
              <w:jc w:val="both"/>
              <w:rPr>
                <w:rFonts w:ascii="Times New Roman" w:hAnsi="Times New Roman"/>
              </w:rPr>
            </w:pPr>
            <w:r w:rsidRPr="0077556D">
              <w:rPr>
                <w:rFonts w:ascii="Times New Roman" w:hAnsi="Times New Roman"/>
              </w:rPr>
              <w:t>Eje 9: La internacionalización de las universidades.</w:t>
            </w:r>
          </w:p>
          <w:p w:rsidR="00864EDA" w:rsidRDefault="00864EDA" w:rsidP="006B2E5C">
            <w:pPr>
              <w:pStyle w:val="NormalWeb"/>
              <w:spacing w:line="24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64EDA" w:rsidTr="00864ED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4EDA" w:rsidRDefault="00864EDA" w:rsidP="00DD1266">
            <w:pPr>
              <w:spacing w:line="240" w:lineRule="atLeast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41B3E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 xml:space="preserve">Coordinación </w:t>
            </w:r>
            <w:r w:rsidR="00D2058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General</w:t>
            </w:r>
            <w:r w:rsidRPr="00741B3E">
              <w:rPr>
                <w:rFonts w:ascii="Verdana" w:hAnsi="Verdana"/>
                <w:color w:val="000000"/>
                <w:sz w:val="24"/>
                <w:szCs w:val="24"/>
              </w:rPr>
              <w:br/>
            </w:r>
            <w:r w:rsidRPr="00741B3E">
              <w:rPr>
                <w:rStyle w:val="apple-converted-space"/>
                <w:rFonts w:ascii="Verdana" w:hAnsi="Verdana"/>
                <w:color w:val="000000"/>
                <w:sz w:val="24"/>
                <w:szCs w:val="24"/>
              </w:rPr>
              <w:t xml:space="preserve">Nelly </w:t>
            </w:r>
            <w:proofErr w:type="spellStart"/>
            <w:r w:rsidRPr="00741B3E">
              <w:rPr>
                <w:rStyle w:val="apple-converted-space"/>
                <w:rFonts w:ascii="Verdana" w:hAnsi="Verdana"/>
                <w:color w:val="000000"/>
                <w:sz w:val="24"/>
                <w:szCs w:val="24"/>
              </w:rPr>
              <w:t>Mainero</w:t>
            </w:r>
            <w:proofErr w:type="spellEnd"/>
            <w:r w:rsidRPr="00741B3E">
              <w:rPr>
                <w:rStyle w:val="apple-converted-space"/>
                <w:rFonts w:ascii="Verdana" w:hAnsi="Verdana"/>
                <w:color w:val="000000"/>
                <w:sz w:val="24"/>
                <w:szCs w:val="24"/>
              </w:rPr>
              <w:t xml:space="preserve"> y Carlos </w:t>
            </w:r>
            <w:proofErr w:type="spellStart"/>
            <w:r w:rsidRPr="00741B3E">
              <w:rPr>
                <w:rStyle w:val="apple-converted-space"/>
                <w:rFonts w:ascii="Verdana" w:hAnsi="Verdana"/>
                <w:color w:val="000000"/>
                <w:sz w:val="24"/>
                <w:szCs w:val="24"/>
              </w:rPr>
              <w:t>Mazzola</w:t>
            </w:r>
            <w:proofErr w:type="spellEnd"/>
            <w:r w:rsidRPr="00741B3E">
              <w:rPr>
                <w:rStyle w:val="apple-converted-space"/>
                <w:rFonts w:ascii="Verdana" w:hAnsi="Verdana"/>
                <w:color w:val="000000"/>
                <w:sz w:val="24"/>
                <w:szCs w:val="24"/>
              </w:rPr>
              <w:t> </w:t>
            </w:r>
            <w:r w:rsidRPr="00741B3E">
              <w:rPr>
                <w:rFonts w:ascii="Verdana" w:hAnsi="Verdana"/>
                <w:color w:val="000000"/>
                <w:sz w:val="24"/>
                <w:szCs w:val="24"/>
              </w:rPr>
              <w:br/>
            </w:r>
          </w:p>
        </w:tc>
      </w:tr>
    </w:tbl>
    <w:p w:rsidR="009F0481" w:rsidRDefault="009F0481" w:rsidP="009F0481">
      <w:pP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741B3E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A tres décadas de la recuperación democrática en la Argentina, y de la cristalización de otros procesos de transición a la democracia en América Latina, realizamos el encuentro  el que estará orientado a reflexionar críticamente sobre los vínculos complejos entre Universidad y democracia. El séptimo encuentro </w:t>
      </w:r>
      <w:r w:rsidR="00741B3E" w:rsidRPr="00741B3E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implica</w:t>
      </w:r>
      <w:r w:rsidRPr="00741B3E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poder dar continuidad a lo que nuestro amigo y maestro Pedro </w:t>
      </w:r>
      <w:proofErr w:type="spellStart"/>
      <w:r w:rsidRPr="00741B3E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Krotsch</w:t>
      </w:r>
      <w:proofErr w:type="spellEnd"/>
      <w:r w:rsidRPr="00741B3E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creó y nos impulsó a sostener en pos de </w:t>
      </w:r>
      <w:r w:rsidR="00741B3E" w:rsidRPr="00741B3E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aportar al</w:t>
      </w:r>
      <w:r w:rsidRPr="00741B3E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campo disciplinar</w:t>
      </w:r>
      <w:r w:rsidR="00741B3E" w:rsidRPr="00741B3E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, la Universidad</w:t>
      </w:r>
      <w:r w:rsidRPr="00741B3E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y la comunidad.</w:t>
      </w:r>
    </w:p>
    <w:p w:rsidR="00D20588" w:rsidRPr="00D20588" w:rsidRDefault="00D20588" w:rsidP="009F0481">
      <w:pPr>
        <w:rPr>
          <w:b/>
          <w:iCs/>
          <w:color w:val="222222"/>
          <w:sz w:val="24"/>
          <w:szCs w:val="24"/>
          <w:shd w:val="clear" w:color="auto" w:fill="FFFFFF"/>
        </w:rPr>
      </w:pPr>
      <w:r w:rsidRPr="00D20588">
        <w:rPr>
          <w:b/>
          <w:iCs/>
          <w:color w:val="222222"/>
          <w:sz w:val="24"/>
          <w:szCs w:val="24"/>
          <w:shd w:val="clear" w:color="auto" w:fill="FFFFFF"/>
        </w:rPr>
        <w:t>Comité Académico</w:t>
      </w:r>
    </w:p>
    <w:p w:rsidR="00D20588" w:rsidRPr="00741B3E" w:rsidRDefault="00D20588" w:rsidP="009F0481">
      <w:pPr>
        <w:rPr>
          <w:rFonts w:ascii="Times New Roman" w:hAnsi="Times New Roman" w:cs="Times New Roman"/>
          <w:i/>
        </w:rPr>
      </w:pPr>
      <w:r>
        <w:rPr>
          <w:i/>
          <w:iCs/>
          <w:color w:val="222222"/>
          <w:shd w:val="clear" w:color="auto" w:fill="FFFFFF"/>
        </w:rPr>
        <w:t xml:space="preserve">Sonia Araujo, Denis </w:t>
      </w:r>
      <w:proofErr w:type="spellStart"/>
      <w:r>
        <w:rPr>
          <w:i/>
          <w:iCs/>
          <w:color w:val="222222"/>
          <w:shd w:val="clear" w:color="auto" w:fill="FFFFFF"/>
        </w:rPr>
        <w:t>Baranger</w:t>
      </w:r>
      <w:proofErr w:type="spellEnd"/>
      <w:r>
        <w:rPr>
          <w:i/>
          <w:iCs/>
          <w:color w:val="222222"/>
          <w:shd w:val="clear" w:color="auto" w:fill="FFFFFF"/>
        </w:rPr>
        <w:t xml:space="preserve">, Sandra </w:t>
      </w:r>
      <w:proofErr w:type="spellStart"/>
      <w:r>
        <w:rPr>
          <w:i/>
          <w:iCs/>
          <w:color w:val="222222"/>
          <w:shd w:val="clear" w:color="auto" w:fill="FFFFFF"/>
        </w:rPr>
        <w:t>Carli</w:t>
      </w:r>
      <w:proofErr w:type="spellEnd"/>
      <w:r>
        <w:rPr>
          <w:i/>
          <w:iCs/>
          <w:color w:val="222222"/>
          <w:shd w:val="clear" w:color="auto" w:fill="FFFFFF"/>
        </w:rPr>
        <w:t xml:space="preserve">, María </w:t>
      </w:r>
      <w:proofErr w:type="spellStart"/>
      <w:r>
        <w:rPr>
          <w:i/>
          <w:iCs/>
          <w:color w:val="222222"/>
          <w:shd w:val="clear" w:color="auto" w:fill="FFFFFF"/>
        </w:rPr>
        <w:t>Caldelari</w:t>
      </w:r>
      <w:proofErr w:type="spellEnd"/>
      <w:r>
        <w:rPr>
          <w:i/>
          <w:iCs/>
          <w:color w:val="222222"/>
          <w:shd w:val="clear" w:color="auto" w:fill="FFFFFF"/>
        </w:rPr>
        <w:t xml:space="preserve">, Antonio </w:t>
      </w:r>
      <w:proofErr w:type="spellStart"/>
      <w:r>
        <w:rPr>
          <w:i/>
          <w:iCs/>
          <w:color w:val="222222"/>
          <w:shd w:val="clear" w:color="auto" w:fill="FFFFFF"/>
        </w:rPr>
        <w:t>Camou</w:t>
      </w:r>
      <w:proofErr w:type="spellEnd"/>
      <w:r>
        <w:rPr>
          <w:i/>
          <w:iCs/>
          <w:color w:val="222222"/>
          <w:shd w:val="clear" w:color="auto" w:fill="FFFFFF"/>
        </w:rPr>
        <w:t xml:space="preserve">, Adriana </w:t>
      </w:r>
      <w:proofErr w:type="spellStart"/>
      <w:r>
        <w:rPr>
          <w:i/>
          <w:iCs/>
          <w:color w:val="222222"/>
          <w:shd w:val="clear" w:color="auto" w:fill="FFFFFF"/>
        </w:rPr>
        <w:t>Chiroleu</w:t>
      </w:r>
      <w:proofErr w:type="spellEnd"/>
      <w:r>
        <w:rPr>
          <w:i/>
          <w:iCs/>
          <w:color w:val="222222"/>
          <w:shd w:val="clear" w:color="auto" w:fill="FFFFFF"/>
        </w:rPr>
        <w:t xml:space="preserve">, Gloria </w:t>
      </w:r>
      <w:proofErr w:type="spellStart"/>
      <w:r>
        <w:rPr>
          <w:i/>
          <w:iCs/>
          <w:color w:val="222222"/>
          <w:shd w:val="clear" w:color="auto" w:fill="FFFFFF"/>
        </w:rPr>
        <w:t>Edelstein</w:t>
      </w:r>
      <w:proofErr w:type="spellEnd"/>
      <w:r>
        <w:rPr>
          <w:i/>
          <w:iCs/>
          <w:color w:val="222222"/>
          <w:shd w:val="clear" w:color="auto" w:fill="FFFFFF"/>
        </w:rPr>
        <w:t xml:space="preserve">, Norberto Fernández </w:t>
      </w:r>
      <w:proofErr w:type="spellStart"/>
      <w:r>
        <w:rPr>
          <w:i/>
          <w:iCs/>
          <w:color w:val="222222"/>
          <w:shd w:val="clear" w:color="auto" w:fill="FFFFFF"/>
        </w:rPr>
        <w:t>Lamarra</w:t>
      </w:r>
      <w:proofErr w:type="spellEnd"/>
      <w:r>
        <w:rPr>
          <w:i/>
          <w:iCs/>
          <w:color w:val="222222"/>
          <w:shd w:val="clear" w:color="auto" w:fill="FFFFFF"/>
        </w:rPr>
        <w:t xml:space="preserve">, Roberto </w:t>
      </w:r>
      <w:proofErr w:type="spellStart"/>
      <w:r>
        <w:rPr>
          <w:i/>
          <w:iCs/>
          <w:color w:val="222222"/>
          <w:shd w:val="clear" w:color="auto" w:fill="FFFFFF"/>
        </w:rPr>
        <w:t>Follari</w:t>
      </w:r>
      <w:proofErr w:type="spellEnd"/>
      <w:r>
        <w:rPr>
          <w:i/>
          <w:iCs/>
          <w:color w:val="222222"/>
          <w:shd w:val="clear" w:color="auto" w:fill="FFFFFF"/>
        </w:rPr>
        <w:t xml:space="preserve">, Juan Carlos </w:t>
      </w:r>
      <w:proofErr w:type="spellStart"/>
      <w:r>
        <w:rPr>
          <w:i/>
          <w:iCs/>
          <w:color w:val="222222"/>
          <w:shd w:val="clear" w:color="auto" w:fill="FFFFFF"/>
        </w:rPr>
        <w:t>Geneyro</w:t>
      </w:r>
      <w:proofErr w:type="spellEnd"/>
      <w:r>
        <w:rPr>
          <w:i/>
          <w:iCs/>
          <w:color w:val="222222"/>
          <w:shd w:val="clear" w:color="auto" w:fill="FFFFFF"/>
        </w:rPr>
        <w:t xml:space="preserve">, </w:t>
      </w:r>
      <w:r w:rsidR="00601F12">
        <w:rPr>
          <w:i/>
          <w:iCs/>
          <w:color w:val="222222"/>
          <w:shd w:val="clear" w:color="auto" w:fill="FFFFFF"/>
        </w:rPr>
        <w:t xml:space="preserve">Elisa </w:t>
      </w:r>
      <w:proofErr w:type="spellStart"/>
      <w:r w:rsidR="00601F12">
        <w:rPr>
          <w:i/>
          <w:iCs/>
          <w:color w:val="222222"/>
          <w:shd w:val="clear" w:color="auto" w:fill="FFFFFF"/>
        </w:rPr>
        <w:t>Lucaelli</w:t>
      </w:r>
      <w:proofErr w:type="spellEnd"/>
      <w:r w:rsidR="00601F12">
        <w:rPr>
          <w:i/>
          <w:iCs/>
          <w:color w:val="222222"/>
          <w:shd w:val="clear" w:color="auto" w:fill="FFFFFF"/>
        </w:rPr>
        <w:t xml:space="preserve">, </w:t>
      </w:r>
      <w:r>
        <w:rPr>
          <w:i/>
          <w:iCs/>
          <w:color w:val="222222"/>
          <w:shd w:val="clear" w:color="auto" w:fill="FFFFFF"/>
        </w:rPr>
        <w:t>Diego Hurtado de Mendoza, Mónica Marquina,</w:t>
      </w:r>
      <w:r w:rsidR="00106CAA">
        <w:rPr>
          <w:i/>
          <w:iCs/>
          <w:color w:val="222222"/>
          <w:shd w:val="clear" w:color="auto" w:fill="FFFFFF"/>
        </w:rPr>
        <w:t xml:space="preserve"> Carlos </w:t>
      </w:r>
      <w:proofErr w:type="spellStart"/>
      <w:r w:rsidR="00106CAA">
        <w:rPr>
          <w:i/>
          <w:iCs/>
          <w:color w:val="222222"/>
          <w:shd w:val="clear" w:color="auto" w:fill="FFFFFF"/>
        </w:rPr>
        <w:t>Mazzola</w:t>
      </w:r>
      <w:proofErr w:type="spellEnd"/>
      <w:r w:rsidR="00106CAA">
        <w:rPr>
          <w:i/>
          <w:iCs/>
          <w:color w:val="222222"/>
          <w:shd w:val="clear" w:color="auto" w:fill="FFFFFF"/>
        </w:rPr>
        <w:t>,</w:t>
      </w:r>
      <w:r>
        <w:rPr>
          <w:i/>
          <w:iCs/>
          <w:color w:val="222222"/>
          <w:shd w:val="clear" w:color="auto" w:fill="FFFFFF"/>
        </w:rPr>
        <w:t xml:space="preserve"> Nelly </w:t>
      </w:r>
      <w:proofErr w:type="spellStart"/>
      <w:r>
        <w:rPr>
          <w:i/>
          <w:iCs/>
          <w:color w:val="222222"/>
          <w:shd w:val="clear" w:color="auto" w:fill="FFFFFF"/>
        </w:rPr>
        <w:t>Mainero</w:t>
      </w:r>
      <w:proofErr w:type="spellEnd"/>
      <w:r>
        <w:rPr>
          <w:i/>
          <w:iCs/>
          <w:color w:val="222222"/>
          <w:shd w:val="clear" w:color="auto" w:fill="FFFFFF"/>
        </w:rPr>
        <w:t>,</w:t>
      </w:r>
      <w:r w:rsidR="00106CAA" w:rsidRPr="00106CAA">
        <w:rPr>
          <w:i/>
          <w:iCs/>
          <w:color w:val="222222"/>
          <w:shd w:val="clear" w:color="auto" w:fill="FFFFFF"/>
        </w:rPr>
        <w:t xml:space="preserve"> </w:t>
      </w:r>
      <w:r w:rsidR="00106CAA">
        <w:rPr>
          <w:i/>
          <w:iCs/>
          <w:color w:val="222222"/>
          <w:shd w:val="clear" w:color="auto" w:fill="FFFFFF"/>
        </w:rPr>
        <w:t xml:space="preserve">Fernando </w:t>
      </w:r>
      <w:proofErr w:type="spellStart"/>
      <w:r w:rsidR="00106CAA">
        <w:rPr>
          <w:i/>
          <w:iCs/>
          <w:color w:val="222222"/>
          <w:shd w:val="clear" w:color="auto" w:fill="FFFFFF"/>
        </w:rPr>
        <w:t>Napoli</w:t>
      </w:r>
      <w:proofErr w:type="spellEnd"/>
      <w:r w:rsidR="00106CAA">
        <w:rPr>
          <w:i/>
          <w:iCs/>
          <w:color w:val="222222"/>
          <w:shd w:val="clear" w:color="auto" w:fill="FFFFFF"/>
        </w:rPr>
        <w:t>,</w:t>
      </w:r>
      <w:r>
        <w:rPr>
          <w:i/>
          <w:iCs/>
          <w:color w:val="222222"/>
          <w:shd w:val="clear" w:color="auto" w:fill="FFFFFF"/>
        </w:rPr>
        <w:t xml:space="preserve"> Augusto Pérez Lindo, Carlos </w:t>
      </w:r>
      <w:proofErr w:type="spellStart"/>
      <w:r>
        <w:rPr>
          <w:i/>
          <w:iCs/>
          <w:color w:val="222222"/>
          <w:shd w:val="clear" w:color="auto" w:fill="FFFFFF"/>
        </w:rPr>
        <w:t>Prego</w:t>
      </w:r>
      <w:proofErr w:type="spellEnd"/>
      <w:r>
        <w:rPr>
          <w:i/>
          <w:iCs/>
          <w:color w:val="222222"/>
          <w:shd w:val="clear" w:color="auto" w:fill="FFFFFF"/>
        </w:rPr>
        <w:t xml:space="preserve">, Alicia </w:t>
      </w:r>
      <w:proofErr w:type="spellStart"/>
      <w:r>
        <w:rPr>
          <w:i/>
          <w:iCs/>
          <w:color w:val="222222"/>
          <w:shd w:val="clear" w:color="auto" w:fill="FFFFFF"/>
        </w:rPr>
        <w:t>Servetto</w:t>
      </w:r>
      <w:proofErr w:type="spellEnd"/>
      <w:r>
        <w:rPr>
          <w:i/>
          <w:iCs/>
          <w:color w:val="222222"/>
          <w:shd w:val="clear" w:color="auto" w:fill="FFFFFF"/>
        </w:rPr>
        <w:t xml:space="preserve">, Claudio </w:t>
      </w:r>
      <w:proofErr w:type="spellStart"/>
      <w:r>
        <w:rPr>
          <w:i/>
          <w:iCs/>
          <w:color w:val="222222"/>
          <w:shd w:val="clear" w:color="auto" w:fill="FFFFFF"/>
        </w:rPr>
        <w:t>Suasnábar</w:t>
      </w:r>
      <w:proofErr w:type="spellEnd"/>
      <w:r>
        <w:rPr>
          <w:i/>
          <w:iCs/>
          <w:color w:val="222222"/>
          <w:shd w:val="clear" w:color="auto" w:fill="FFFFFF"/>
        </w:rPr>
        <w:t xml:space="preserve">,  Martín </w:t>
      </w:r>
      <w:proofErr w:type="spellStart"/>
      <w:r>
        <w:rPr>
          <w:i/>
          <w:iCs/>
          <w:color w:val="222222"/>
          <w:shd w:val="clear" w:color="auto" w:fill="FFFFFF"/>
        </w:rPr>
        <w:t>Unzué</w:t>
      </w:r>
      <w:proofErr w:type="spellEnd"/>
      <w:r>
        <w:rPr>
          <w:i/>
          <w:iCs/>
          <w:color w:val="222222"/>
          <w:shd w:val="clear" w:color="auto" w:fill="FFFFFF"/>
        </w:rPr>
        <w:t xml:space="preserve">, Leonardo Vacarezza, Mariana </w:t>
      </w:r>
      <w:proofErr w:type="spellStart"/>
      <w:r>
        <w:rPr>
          <w:i/>
          <w:iCs/>
          <w:color w:val="222222"/>
          <w:shd w:val="clear" w:color="auto" w:fill="FFFFFF"/>
        </w:rPr>
        <w:t>Versino</w:t>
      </w:r>
      <w:proofErr w:type="spellEnd"/>
      <w:r>
        <w:rPr>
          <w:i/>
          <w:iCs/>
          <w:color w:val="222222"/>
          <w:shd w:val="clear" w:color="auto" w:fill="FFFFFF"/>
        </w:rPr>
        <w:t xml:space="preserve">, Alicia </w:t>
      </w:r>
      <w:proofErr w:type="spellStart"/>
      <w:r>
        <w:rPr>
          <w:i/>
          <w:iCs/>
          <w:color w:val="222222"/>
          <w:shd w:val="clear" w:color="auto" w:fill="FFFFFF"/>
        </w:rPr>
        <w:t>Villag</w:t>
      </w:r>
      <w:r w:rsidR="00106CAA">
        <w:rPr>
          <w:i/>
          <w:iCs/>
          <w:color w:val="222222"/>
          <w:shd w:val="clear" w:color="auto" w:fill="FFFFFF"/>
        </w:rPr>
        <w:t>ra</w:t>
      </w:r>
      <w:proofErr w:type="spellEnd"/>
      <w:r w:rsidR="00106CAA">
        <w:rPr>
          <w:i/>
          <w:iCs/>
          <w:color w:val="222222"/>
          <w:shd w:val="clear" w:color="auto" w:fill="FFFFFF"/>
        </w:rPr>
        <w:t xml:space="preserve"> de Burgos</w:t>
      </w:r>
      <w:r>
        <w:rPr>
          <w:i/>
          <w:iCs/>
          <w:color w:val="222222"/>
          <w:shd w:val="clear" w:color="auto" w:fill="FFFFFF"/>
        </w:rPr>
        <w:t xml:space="preserve">. </w:t>
      </w:r>
    </w:p>
    <w:p w:rsidR="00552576" w:rsidRDefault="00741B3E" w:rsidP="00DD1266">
      <w:pPr>
        <w:rPr>
          <w:rFonts w:ascii="Times New Roman" w:hAnsi="Times New Roman" w:cs="Times New Roman"/>
        </w:rPr>
      </w:pPr>
      <w:r w:rsidRPr="00533F46">
        <w:rPr>
          <w:rStyle w:val="Textoennegrita"/>
          <w:rFonts w:ascii="Times New Roman" w:hAnsi="Times New Roman" w:cs="Times New Roman"/>
          <w:color w:val="000000"/>
          <w:sz w:val="20"/>
          <w:szCs w:val="20"/>
        </w:rPr>
        <w:t>Lugar de realización</w:t>
      </w:r>
      <w:r w:rsidRPr="00533F46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533F46">
        <w:rPr>
          <w:rStyle w:val="nfasis"/>
          <w:rFonts w:ascii="Times New Roman" w:hAnsi="Times New Roman" w:cs="Times New Roman"/>
          <w:color w:val="000000"/>
          <w:sz w:val="20"/>
          <w:szCs w:val="20"/>
        </w:rPr>
        <w:t>Universidad Nacional de San Luis. Ejercicito de los Andes 950 </w:t>
      </w:r>
      <w:r w:rsidRPr="00533F46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533F46">
        <w:rPr>
          <w:rStyle w:val="Textoennegrita"/>
          <w:rFonts w:ascii="Times New Roman" w:hAnsi="Times New Roman" w:cs="Times New Roman"/>
          <w:color w:val="000000"/>
          <w:sz w:val="20"/>
          <w:szCs w:val="20"/>
        </w:rPr>
        <w:t>Aranceles</w:t>
      </w:r>
      <w:r w:rsidR="00DD1266">
        <w:rPr>
          <w:rStyle w:val="Textoennegrita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33F46">
        <w:rPr>
          <w:rStyle w:val="Textoennegrita"/>
          <w:rFonts w:ascii="Times New Roman" w:hAnsi="Times New Roman" w:cs="Times New Roman"/>
          <w:color w:val="000000"/>
          <w:sz w:val="20"/>
          <w:szCs w:val="20"/>
        </w:rPr>
        <w:t> </w:t>
      </w:r>
      <w:r w:rsidRPr="00533F4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br/>
      </w:r>
      <w:r w:rsidRPr="00533F46">
        <w:rPr>
          <w:rStyle w:val="nfasis"/>
          <w:rFonts w:ascii="Times New Roman" w:hAnsi="Times New Roman" w:cs="Times New Roman"/>
          <w:color w:val="000000"/>
          <w:sz w:val="20"/>
          <w:szCs w:val="20"/>
        </w:rPr>
        <w:t>Nacionales y Extranjeros* Hasta 28 de junio, para expositores  3</w:t>
      </w:r>
      <w:r w:rsidR="00B57611">
        <w:rPr>
          <w:rStyle w:val="nfasis"/>
          <w:rFonts w:ascii="Times New Roman" w:hAnsi="Times New Roman" w:cs="Times New Roman"/>
          <w:color w:val="000000"/>
          <w:sz w:val="20"/>
          <w:szCs w:val="20"/>
        </w:rPr>
        <w:t>5</w:t>
      </w:r>
      <w:r w:rsidRPr="00533F46">
        <w:rPr>
          <w:rStyle w:val="nfasis"/>
          <w:rFonts w:ascii="Times New Roman" w:hAnsi="Times New Roman" w:cs="Times New Roman"/>
          <w:color w:val="000000"/>
          <w:sz w:val="20"/>
          <w:szCs w:val="20"/>
        </w:rPr>
        <w:t>0 pesos Después 4</w:t>
      </w:r>
      <w:r w:rsidR="00DD1266">
        <w:rPr>
          <w:rStyle w:val="nfasis"/>
          <w:rFonts w:ascii="Times New Roman" w:hAnsi="Times New Roman" w:cs="Times New Roman"/>
          <w:color w:val="000000"/>
          <w:sz w:val="20"/>
          <w:szCs w:val="20"/>
        </w:rPr>
        <w:t>5</w:t>
      </w:r>
      <w:r w:rsidRPr="00533F46">
        <w:rPr>
          <w:rStyle w:val="nfasis"/>
          <w:rFonts w:ascii="Times New Roman" w:hAnsi="Times New Roman" w:cs="Times New Roman"/>
          <w:color w:val="000000"/>
          <w:sz w:val="20"/>
          <w:szCs w:val="20"/>
        </w:rPr>
        <w:t>0 pesos</w:t>
      </w:r>
      <w:r w:rsidRPr="00533F46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533F46">
        <w:rPr>
          <w:rStyle w:val="nfasis"/>
          <w:rFonts w:ascii="Times New Roman" w:hAnsi="Times New Roman" w:cs="Times New Roman"/>
          <w:color w:val="000000"/>
          <w:sz w:val="20"/>
          <w:szCs w:val="20"/>
        </w:rPr>
        <w:lastRenderedPageBreak/>
        <w:t>Asistentes 150 pesos Después de 28 junio 200 pesos)</w:t>
      </w:r>
      <w:r w:rsidRPr="00533F46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533F46">
        <w:rPr>
          <w:rStyle w:val="nfasis"/>
          <w:rFonts w:ascii="Times New Roman" w:hAnsi="Times New Roman" w:cs="Times New Roman"/>
          <w:color w:val="000000"/>
          <w:sz w:val="20"/>
          <w:szCs w:val="20"/>
        </w:rPr>
        <w:t>Estudiantes 100 pesos y 150 pesos después</w:t>
      </w:r>
      <w:r w:rsidRPr="00533F46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533F46">
        <w:rPr>
          <w:rStyle w:val="nfasis"/>
          <w:rFonts w:ascii="Times New Roman" w:hAnsi="Times New Roman" w:cs="Times New Roman"/>
          <w:color w:val="000000"/>
          <w:sz w:val="20"/>
          <w:szCs w:val="20"/>
        </w:rPr>
        <w:t>* Se sugiere que los extranjeros abonen los aranceles en la sede del Congreso, el día de su inicio. Para los nacionales, en breve se brindará información sobre modalidades de pago.</w:t>
      </w:r>
      <w:r w:rsidRPr="00533F46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533F46">
        <w:rPr>
          <w:rStyle w:val="nfasis"/>
          <w:rFonts w:ascii="Times New Roman" w:hAnsi="Times New Roman" w:cs="Times New Roman"/>
          <w:color w:val="000000"/>
          <w:sz w:val="20"/>
          <w:szCs w:val="20"/>
        </w:rPr>
        <w:t> </w:t>
      </w:r>
      <w:r w:rsidRPr="00533F46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533F46">
        <w:rPr>
          <w:rStyle w:val="nfasis"/>
          <w:rFonts w:ascii="Times New Roman" w:hAnsi="Times New Roman" w:cs="Times New Roman"/>
          <w:color w:val="000000"/>
          <w:sz w:val="20"/>
          <w:szCs w:val="20"/>
        </w:rPr>
        <w:t>El Encuentro destinará  espacio</w:t>
      </w:r>
      <w:r>
        <w:rPr>
          <w:rStyle w:val="nfasis"/>
          <w:rFonts w:ascii="Times New Roman" w:hAnsi="Times New Roman" w:cs="Times New Roman"/>
          <w:color w:val="000000"/>
          <w:sz w:val="20"/>
          <w:szCs w:val="20"/>
        </w:rPr>
        <w:t>s</w:t>
      </w:r>
      <w:r w:rsidRPr="00533F46">
        <w:rPr>
          <w:rStyle w:val="nfasis"/>
          <w:rFonts w:ascii="Times New Roman" w:hAnsi="Times New Roman" w:cs="Times New Roman"/>
          <w:color w:val="000000"/>
          <w:sz w:val="20"/>
          <w:szCs w:val="20"/>
        </w:rPr>
        <w:t xml:space="preserve"> para la presentación de libros sobre temáticas de Educación Superior.  </w:t>
      </w:r>
      <w:r w:rsidRPr="00533F46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</w:p>
    <w:p w:rsidR="00864EDA" w:rsidRPr="00552576" w:rsidRDefault="00DD1266" w:rsidP="00DD1266">
      <w:pPr>
        <w:rPr>
          <w:rFonts w:ascii="Times New Roman" w:hAnsi="Times New Roman" w:cs="Times New Roman"/>
          <w:sz w:val="24"/>
          <w:szCs w:val="24"/>
        </w:rPr>
      </w:pPr>
      <w:r w:rsidRPr="00552576">
        <w:rPr>
          <w:rFonts w:ascii="Times New Roman" w:hAnsi="Times New Roman" w:cs="Times New Roman"/>
          <w:sz w:val="24"/>
          <w:szCs w:val="24"/>
        </w:rPr>
        <w:t>En próximas circulares se darán mayores informaciones</w:t>
      </w:r>
    </w:p>
    <w:sectPr w:rsidR="00864EDA" w:rsidRPr="00552576" w:rsidSect="00351F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A6B00"/>
    <w:multiLevelType w:val="multilevel"/>
    <w:tmpl w:val="D8AC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5DD5"/>
    <w:rsid w:val="000C3C34"/>
    <w:rsid w:val="000F35F6"/>
    <w:rsid w:val="00106CAA"/>
    <w:rsid w:val="00351FD8"/>
    <w:rsid w:val="0047213B"/>
    <w:rsid w:val="005049C3"/>
    <w:rsid w:val="00533F46"/>
    <w:rsid w:val="00552576"/>
    <w:rsid w:val="00601F12"/>
    <w:rsid w:val="006B2E5C"/>
    <w:rsid w:val="00741B3E"/>
    <w:rsid w:val="00864EDA"/>
    <w:rsid w:val="00882262"/>
    <w:rsid w:val="008A60DF"/>
    <w:rsid w:val="009F0481"/>
    <w:rsid w:val="00AF6196"/>
    <w:rsid w:val="00AF716F"/>
    <w:rsid w:val="00B57611"/>
    <w:rsid w:val="00D20588"/>
    <w:rsid w:val="00D7405A"/>
    <w:rsid w:val="00DC6615"/>
    <w:rsid w:val="00DD1266"/>
    <w:rsid w:val="00DF3710"/>
    <w:rsid w:val="00F56948"/>
    <w:rsid w:val="00F8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FD8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3F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533F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Fuentedeprrafopredeter"/>
    <w:rsid w:val="00533F46"/>
  </w:style>
  <w:style w:type="character" w:styleId="Hipervnculo">
    <w:name w:val="Hyperlink"/>
    <w:basedOn w:val="Fuentedeprrafopredeter"/>
    <w:uiPriority w:val="99"/>
    <w:semiHidden/>
    <w:unhideWhenUsed/>
    <w:rsid w:val="00533F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33F46"/>
    <w:rPr>
      <w:b/>
      <w:bCs/>
    </w:rPr>
  </w:style>
  <w:style w:type="character" w:styleId="nfasis">
    <w:name w:val="Emphasis"/>
    <w:basedOn w:val="Fuentedeprrafopredeter"/>
    <w:uiPriority w:val="20"/>
    <w:qFormat/>
    <w:rsid w:val="00533F46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ED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F3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3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Mazzola</dc:creator>
  <cp:keywords/>
  <dc:description/>
  <cp:lastModifiedBy>Carlos Mazzola</cp:lastModifiedBy>
  <cp:revision>20</cp:revision>
  <dcterms:created xsi:type="dcterms:W3CDTF">2012-12-28T12:20:00Z</dcterms:created>
  <dcterms:modified xsi:type="dcterms:W3CDTF">2013-05-13T20:43:00Z</dcterms:modified>
</cp:coreProperties>
</file>